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D9" w:rsidRDefault="00720DD9" w:rsidP="00720DD9">
      <w:bookmarkStart w:id="0" w:name="_Hlk517702667"/>
      <w:bookmarkStart w:id="1" w:name="_GoBack"/>
      <w:bookmarkEnd w:id="1"/>
    </w:p>
    <w:p w:rsidR="00720DD9" w:rsidRDefault="00720DD9" w:rsidP="00720DD9"/>
    <w:bookmarkEnd w:id="0"/>
    <w:p w:rsidR="000F0704" w:rsidRPr="00E172D5" w:rsidRDefault="000F0704" w:rsidP="000F0704">
      <w:r w:rsidRPr="00E172D5">
        <w:t>Ab 2019: Der neue Gefahrtarif der BGN – näher an der Wirtschaft, näher am Risiko</w:t>
      </w:r>
    </w:p>
    <w:p w:rsidR="000F0704" w:rsidRDefault="000F0704" w:rsidP="000F0704">
      <w:pPr>
        <w:rPr>
          <w:b w:val="0"/>
        </w:rPr>
      </w:pPr>
    </w:p>
    <w:p w:rsidR="000F0704" w:rsidRDefault="000F0704" w:rsidP="000F0704">
      <w:pPr>
        <w:rPr>
          <w:b w:val="0"/>
        </w:rPr>
      </w:pPr>
      <w:r>
        <w:rPr>
          <w:b w:val="0"/>
        </w:rPr>
        <w:t xml:space="preserve">Die Vertreterversammlung der BGN hat in ihrer Sitzung am 21. Juni 2018 einen neuen Gefahrtarif beschlossen. </w:t>
      </w:r>
      <w:r w:rsidRPr="00E172D5">
        <w:rPr>
          <w:b w:val="0"/>
        </w:rPr>
        <w:t xml:space="preserve">Er ist wichtig für die Berechnung </w:t>
      </w:r>
      <w:r>
        <w:rPr>
          <w:b w:val="0"/>
        </w:rPr>
        <w:t>des</w:t>
      </w:r>
      <w:r w:rsidRPr="00E172D5">
        <w:rPr>
          <w:b w:val="0"/>
        </w:rPr>
        <w:t xml:space="preserve"> Beitrags</w:t>
      </w:r>
      <w:r>
        <w:rPr>
          <w:b w:val="0"/>
        </w:rPr>
        <w:t xml:space="preserve">, der sich </w:t>
      </w:r>
      <w:r w:rsidRPr="00E172D5">
        <w:rPr>
          <w:b w:val="0"/>
        </w:rPr>
        <w:t xml:space="preserve">aus einem jährlich fixen Beitragsfuß, der Lohnsumme und eben der Gefahrklasse </w:t>
      </w:r>
      <w:r>
        <w:rPr>
          <w:b w:val="0"/>
        </w:rPr>
        <w:t xml:space="preserve">des jeweiligen </w:t>
      </w:r>
      <w:r w:rsidRPr="00E172D5">
        <w:rPr>
          <w:b w:val="0"/>
        </w:rPr>
        <w:t>Unternehmens</w:t>
      </w:r>
      <w:r>
        <w:rPr>
          <w:b w:val="0"/>
        </w:rPr>
        <w:t xml:space="preserve"> berechnet</w:t>
      </w:r>
      <w:r w:rsidRPr="00E172D5">
        <w:rPr>
          <w:b w:val="0"/>
        </w:rPr>
        <w:t xml:space="preserve">. Je weniger Unfälle und Berufskrankheiten in </w:t>
      </w:r>
      <w:r>
        <w:rPr>
          <w:b w:val="0"/>
        </w:rPr>
        <w:t xml:space="preserve">der </w:t>
      </w:r>
      <w:r w:rsidRPr="00E172D5">
        <w:rPr>
          <w:b w:val="0"/>
        </w:rPr>
        <w:t xml:space="preserve"> Branche verzeichnet werden, desto geringer ist also </w:t>
      </w:r>
      <w:r>
        <w:rPr>
          <w:b w:val="0"/>
        </w:rPr>
        <w:t>der</w:t>
      </w:r>
      <w:r w:rsidRPr="00E172D5">
        <w:rPr>
          <w:b w:val="0"/>
        </w:rPr>
        <w:t xml:space="preserve"> Beitrag.</w:t>
      </w:r>
    </w:p>
    <w:p w:rsidR="000F0704" w:rsidRDefault="000F0704" w:rsidP="000F0704">
      <w:pPr>
        <w:rPr>
          <w:b w:val="0"/>
        </w:rPr>
      </w:pPr>
    </w:p>
    <w:p w:rsidR="000F0704" w:rsidRPr="005848DA" w:rsidRDefault="000F0704" w:rsidP="000F0704">
      <w:pPr>
        <w:rPr>
          <w:b w:val="0"/>
        </w:rPr>
      </w:pPr>
      <w:r>
        <w:rPr>
          <w:b w:val="0"/>
        </w:rPr>
        <w:t xml:space="preserve">Dem voraus ging ein mehrjähriger Prozess: Am 29. Juni 2017 beschloss die Vertreterversammlung, </w:t>
      </w:r>
      <w:r w:rsidRPr="005848DA">
        <w:rPr>
          <w:b w:val="0"/>
        </w:rPr>
        <w:t xml:space="preserve">die Gefahrtarife und die Umlagen der bisherigen Zuständigkeitsbereiche der ehemaligen BGN und FBG ab dem Umlagejahr 2019 zusammenzuführen. </w:t>
      </w:r>
      <w:r>
        <w:rPr>
          <w:b w:val="0"/>
        </w:rPr>
        <w:t xml:space="preserve">Es galt ferner zu berücksichtigen, dass </w:t>
      </w:r>
      <w:r w:rsidRPr="005848DA">
        <w:rPr>
          <w:b w:val="0"/>
        </w:rPr>
        <w:t>zum 01.01.2019 der Gefahrtarif 2013 für fleischwirtschaftliche Unternehmen mit Erreichen seiner maximalen Geltungsdauer von sechs Jahren aus</w:t>
      </w:r>
      <w:r>
        <w:rPr>
          <w:b w:val="0"/>
        </w:rPr>
        <w:t>läuft</w:t>
      </w:r>
      <w:r w:rsidRPr="005848DA">
        <w:rPr>
          <w:b w:val="0"/>
        </w:rPr>
        <w:t xml:space="preserve">. Deshalb </w:t>
      </w:r>
      <w:r>
        <w:rPr>
          <w:b w:val="0"/>
        </w:rPr>
        <w:t xml:space="preserve">war </w:t>
      </w:r>
      <w:r w:rsidRPr="005848DA">
        <w:rPr>
          <w:b w:val="0"/>
        </w:rPr>
        <w:t>es notwendig, zu diesem Zeitpunkt einen neuen gemeinsamen Gefahrtarif für alle bei der BGN versicherten Gewerbegruppen in Kraft zu setzen.</w:t>
      </w:r>
    </w:p>
    <w:p w:rsidR="000F0704" w:rsidRPr="005848DA" w:rsidRDefault="000F0704" w:rsidP="000F0704">
      <w:pPr>
        <w:rPr>
          <w:b w:val="0"/>
        </w:rPr>
      </w:pPr>
    </w:p>
    <w:p w:rsidR="000F0704" w:rsidRDefault="000F0704" w:rsidP="000F0704">
      <w:pPr>
        <w:rPr>
          <w:b w:val="0"/>
        </w:rPr>
      </w:pPr>
      <w:r w:rsidRPr="005848DA">
        <w:rPr>
          <w:b w:val="0"/>
        </w:rPr>
        <w:t xml:space="preserve">Auf Empfehlung des Gefahrtarifausschusses haben sich der Vorstand und die Vertreterversammlung bereits im Jahr 2016 mit der neuen Struktur des künftigen Tarifs befasst und </w:t>
      </w:r>
      <w:r>
        <w:rPr>
          <w:b w:val="0"/>
        </w:rPr>
        <w:t xml:space="preserve">damals beschlossen, dass der </w:t>
      </w:r>
      <w:r w:rsidRPr="005848DA">
        <w:rPr>
          <w:b w:val="0"/>
        </w:rPr>
        <w:t>erste gemeinsame Gefahrtarif der BGN ab dem 01.01.2019 mit folgenden Maßgaben aufgebaut</w:t>
      </w:r>
      <w:r>
        <w:rPr>
          <w:b w:val="0"/>
        </w:rPr>
        <w:t xml:space="preserve"> </w:t>
      </w:r>
      <w:r w:rsidRPr="005848DA">
        <w:rPr>
          <w:b w:val="0"/>
        </w:rPr>
        <w:t xml:space="preserve">wird: </w:t>
      </w:r>
      <w:r>
        <w:rPr>
          <w:b w:val="0"/>
        </w:rPr>
        <w:br/>
      </w:r>
    </w:p>
    <w:p w:rsidR="000F0704" w:rsidRPr="00855042" w:rsidRDefault="000F0704" w:rsidP="000F0704">
      <w:pPr>
        <w:pStyle w:val="Listenabsatz"/>
        <w:numPr>
          <w:ilvl w:val="0"/>
          <w:numId w:val="42"/>
        </w:numPr>
        <w:rPr>
          <w:b w:val="0"/>
        </w:rPr>
      </w:pPr>
      <w:r w:rsidRPr="00855042">
        <w:rPr>
          <w:b w:val="0"/>
        </w:rPr>
        <w:t>Zusammenführung von Gewerbezweigen zu Gewerbegruppen unter Berücksich</w:t>
      </w:r>
      <w:r>
        <w:rPr>
          <w:b w:val="0"/>
        </w:rPr>
        <w:t>tigung des Technologieprinzips</w:t>
      </w:r>
    </w:p>
    <w:p w:rsidR="000F0704" w:rsidRPr="00855042" w:rsidRDefault="000F0704" w:rsidP="000F0704">
      <w:pPr>
        <w:pStyle w:val="Listenabsatz"/>
        <w:numPr>
          <w:ilvl w:val="0"/>
          <w:numId w:val="42"/>
        </w:numPr>
        <w:rPr>
          <w:b w:val="0"/>
        </w:rPr>
      </w:pPr>
      <w:r w:rsidRPr="00855042">
        <w:rPr>
          <w:b w:val="0"/>
        </w:rPr>
        <w:t>Bündelung gemäß dem Versicherungsprinzip für den aufzustellenden Gefahrtarif zu tragfähigen Tarifstellen</w:t>
      </w:r>
    </w:p>
    <w:p w:rsidR="000F0704" w:rsidRPr="00855042" w:rsidRDefault="000F0704" w:rsidP="000F0704">
      <w:pPr>
        <w:pStyle w:val="Listenabsatz"/>
        <w:numPr>
          <w:ilvl w:val="0"/>
          <w:numId w:val="42"/>
        </w:numPr>
        <w:rPr>
          <w:b w:val="0"/>
        </w:rPr>
      </w:pPr>
      <w:r w:rsidRPr="00855042">
        <w:rPr>
          <w:b w:val="0"/>
        </w:rPr>
        <w:t>Die Belastungsziffern der einzelnen Gewerbegruppen innerhalb der Gefahrtarifstellen sollen maximal 10 Prozent von der errechneten Gefahrklasse für die Tarifstelle abwei</w:t>
      </w:r>
      <w:r>
        <w:rPr>
          <w:b w:val="0"/>
        </w:rPr>
        <w:t>chen</w:t>
      </w:r>
    </w:p>
    <w:p w:rsidR="000F0704" w:rsidRDefault="000F0704" w:rsidP="000F0704">
      <w:pPr>
        <w:rPr>
          <w:b w:val="0"/>
        </w:rPr>
      </w:pPr>
    </w:p>
    <w:p w:rsidR="000F0704" w:rsidRPr="0059693D" w:rsidRDefault="000F0704" w:rsidP="000F0704">
      <w:r>
        <w:t>Was wurde unternommen?</w:t>
      </w:r>
    </w:p>
    <w:p w:rsidR="000F0704" w:rsidRDefault="000F0704" w:rsidP="000F0704">
      <w:pPr>
        <w:rPr>
          <w:b w:val="0"/>
        </w:rPr>
      </w:pPr>
    </w:p>
    <w:p w:rsidR="000F0704" w:rsidRDefault="000F0704" w:rsidP="000F0704">
      <w:pPr>
        <w:rPr>
          <w:b w:val="0"/>
        </w:rPr>
      </w:pPr>
      <w:r>
        <w:rPr>
          <w:b w:val="0"/>
        </w:rPr>
        <w:t xml:space="preserve">Zunächst wurden die bislang getrennten Gefahrtarife der Bereiche Nahrungsmittel und Fleischwirtschaft zusammengelegt, außerdem wurden unter Berücksichtigung des Technologieprinzips Gewerbezweige zu Gewerbegruppen zusammengeführt. Neu ist, dass die Tarifstellen mehr als bisher anhand der tatsächlichen Belastung gebildet werden. Ausschlaggebend ist nun also nicht mehr die technologische Verwandtschaft oder das Endprodukt, sondern die Tatsache, wie hoch die Belastungen (also die Ausgaben für Heilbehandlungen etc.) sind. </w:t>
      </w:r>
    </w:p>
    <w:p w:rsidR="000F0704" w:rsidRDefault="000F0704" w:rsidP="000F0704">
      <w:pPr>
        <w:rPr>
          <w:b w:val="0"/>
        </w:rPr>
      </w:pPr>
    </w:p>
    <w:p w:rsidR="000F0704" w:rsidRDefault="000F0704" w:rsidP="000F0704">
      <w:pPr>
        <w:rPr>
          <w:b w:val="0"/>
        </w:rPr>
      </w:pPr>
      <w:r>
        <w:rPr>
          <w:b w:val="0"/>
        </w:rPr>
        <w:t xml:space="preserve">In einer Gefahrtarifstelle zusammengefasst werden Gewerbegruppen, die maximal zehn Prozent von der errechneten Gefahrklasse für die Tarifstelle abweichen. Das schafft Gerechtigkeit, da nunmehr diejenigen, die eine geringe Belastung haben, nicht mehr solche mit einer hohen Belastung mitfinanzieren müssen. Für einige Branchen steigt dadurch der Beitrag, viele andere Branchen jedoch profitieren von der neuen Ausrichtung des Gefahrtarifs. </w:t>
      </w:r>
    </w:p>
    <w:p w:rsidR="000F0704" w:rsidRDefault="000F0704" w:rsidP="000F0704">
      <w:pPr>
        <w:spacing w:after="160" w:line="259" w:lineRule="auto"/>
        <w:ind w:right="0"/>
      </w:pPr>
    </w:p>
    <w:p w:rsidR="000F0704" w:rsidRDefault="000F0704" w:rsidP="000F0704">
      <w:r w:rsidRPr="00C72F2A">
        <w:t xml:space="preserve">Wie wird </w:t>
      </w:r>
      <w:r>
        <w:t>die Belastung</w:t>
      </w:r>
      <w:r w:rsidRPr="00C72F2A">
        <w:t xml:space="preserve"> </w:t>
      </w:r>
      <w:r>
        <w:t xml:space="preserve">einer Gefahrtarifstelle </w:t>
      </w:r>
      <w:r w:rsidRPr="00C72F2A">
        <w:t>berechnet?</w:t>
      </w:r>
    </w:p>
    <w:p w:rsidR="000F0704" w:rsidRDefault="000F0704" w:rsidP="000F0704"/>
    <w:p w:rsidR="000F0704" w:rsidRPr="001F193A" w:rsidRDefault="000F0704" w:rsidP="000F0704">
      <w:pPr>
        <w:tabs>
          <w:tab w:val="left" w:pos="730"/>
          <w:tab w:val="center" w:pos="3348"/>
        </w:tabs>
        <w:autoSpaceDE w:val="0"/>
        <w:autoSpaceDN w:val="0"/>
        <w:adjustRightInd w:val="0"/>
        <w:contextualSpacing/>
        <w:rPr>
          <w:b w:val="0"/>
        </w:rPr>
      </w:pPr>
      <w:r w:rsidRPr="00127FDA">
        <w:rPr>
          <w:b w:val="0"/>
        </w:rPr>
        <w:t xml:space="preserve">Die Gefahrklasse </w:t>
      </w:r>
      <w:r>
        <w:rPr>
          <w:b w:val="0"/>
        </w:rPr>
        <w:t xml:space="preserve">einer Gefahrtarifstelle </w:t>
      </w:r>
      <w:r w:rsidRPr="00127FDA">
        <w:rPr>
          <w:b w:val="0"/>
        </w:rPr>
        <w:t>wird aus dem Verhältnis der über einen Beobachtungszeitraum von 5 Jahren gezahlten Entschädigungsleistungen zu den i</w:t>
      </w:r>
      <w:r>
        <w:rPr>
          <w:b w:val="0"/>
        </w:rPr>
        <w:t>m</w:t>
      </w:r>
      <w:r w:rsidRPr="00127FDA">
        <w:rPr>
          <w:b w:val="0"/>
        </w:rPr>
        <w:t xml:space="preserve"> gleichen Zeitraum gezahlten Entgeltsummen bere</w:t>
      </w:r>
      <w:r>
        <w:rPr>
          <w:b w:val="0"/>
        </w:rPr>
        <w:t xml:space="preserve">chnet. Die Formel dazu lautet: </w:t>
      </w:r>
      <w:r w:rsidRPr="001F193A">
        <w:rPr>
          <w:b w:val="0"/>
        </w:rPr>
        <w:t>[Entschädigungslasten x 1.000]: Gesamtentgelt = Gefahrklasse</w:t>
      </w:r>
    </w:p>
    <w:p w:rsidR="000F0704" w:rsidRDefault="000F0704" w:rsidP="000F0704">
      <w:pPr>
        <w:rPr>
          <w:b w:val="0"/>
        </w:rPr>
      </w:pPr>
    </w:p>
    <w:p w:rsidR="000F0704" w:rsidRDefault="000F0704" w:rsidP="000F0704">
      <w:r>
        <w:rPr>
          <w:b w:val="0"/>
        </w:rPr>
        <w:t xml:space="preserve">Weitere Informationen zum neuen Gefahrtarif unter </w:t>
      </w:r>
      <w:hyperlink r:id="rId8" w:history="1">
        <w:r w:rsidRPr="00DD7ABC">
          <w:rPr>
            <w:rStyle w:val="Hyperlink"/>
          </w:rPr>
          <w:t>www.bgn.de/gefahrtarif</w:t>
        </w:r>
      </w:hyperlink>
      <w:r>
        <w:rPr>
          <w:b w:val="0"/>
        </w:rPr>
        <w:t xml:space="preserve"> oder unter unserer Hotline 0621/4456-1581. </w:t>
      </w:r>
    </w:p>
    <w:p w:rsidR="00504E6A" w:rsidRPr="00720DD9" w:rsidRDefault="00504E6A" w:rsidP="00720DD9"/>
    <w:sectPr w:rsidR="00504E6A" w:rsidRPr="00720DD9" w:rsidSect="00AE100A">
      <w:headerReference w:type="even" r:id="rId9"/>
      <w:footerReference w:type="even" r:id="rId10"/>
      <w:footerReference w:type="default" r:id="rId11"/>
      <w:headerReference w:type="first" r:id="rId12"/>
      <w:pgSz w:w="11907" w:h="16840" w:code="9"/>
      <w:pgMar w:top="1247" w:right="1701" w:bottom="1985" w:left="1361" w:header="567" w:footer="1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GUV Meta">
    <w:altName w:val="DGUV Me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pPr>
      <w:framePr w:wrap="around" w:vAnchor="text" w:hAnchor="margin" w:xAlign="right" w:y="1"/>
    </w:pPr>
    <w:r>
      <w:fldChar w:fldCharType="begin"/>
    </w:r>
    <w:r>
      <w:instrText xml:space="preserve">PAGE  </w:instrText>
    </w:r>
    <w:r>
      <w:fldChar w:fldCharType="separate"/>
    </w:r>
    <w:r>
      <w:rPr>
        <w:noProof/>
      </w:rPr>
      <w:t>103</w:t>
    </w:r>
    <w:r>
      <w:fldChar w:fldCharType="end"/>
    </w:r>
  </w:p>
  <w:p w:rsidR="00693A97" w:rsidRDefault="00693A97">
    <w:pPr>
      <w:ind w:right="360" w:firstLine="360"/>
    </w:pPr>
  </w:p>
  <w:p w:rsidR="00693A97" w:rsidRDefault="00693A97"/>
  <w:p w:rsidR="00693A97" w:rsidRDefault="00693A97"/>
  <w:p w:rsidR="00693A97" w:rsidRDefault="00693A97" w:rsidP="007C6CE6"/>
  <w:p w:rsidR="00693A97" w:rsidRDefault="00693A97" w:rsidP="003175DB"/>
  <w:p w:rsidR="00693A97" w:rsidRDefault="00693A97" w:rsidP="003175DB"/>
  <w:p w:rsidR="00693A97" w:rsidRDefault="00693A97" w:rsidP="005551FB"/>
  <w:p w:rsidR="00693A97" w:rsidRDefault="00693A97" w:rsidP="0098100A"/>
  <w:p w:rsidR="00693A97" w:rsidRDefault="00693A97" w:rsidP="0098100A"/>
  <w:p w:rsidR="00693A97" w:rsidRDefault="00693A97" w:rsidP="00981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552CF8" w:rsidRDefault="00693A97" w:rsidP="00C66DA0">
    <w:pPr>
      <w:jc w:val="right"/>
      <w:rPr>
        <w:b w:val="0"/>
        <w:sz w:val="16"/>
        <w:szCs w:val="16"/>
      </w:rPr>
    </w:pPr>
    <w:r w:rsidRPr="00552CF8">
      <w:rPr>
        <w:sz w:val="16"/>
        <w:szCs w:val="16"/>
      </w:rPr>
      <w:t xml:space="preserve">Seite </w:t>
    </w:r>
    <w:r w:rsidRPr="00552CF8">
      <w:rPr>
        <w:b w:val="0"/>
        <w:sz w:val="16"/>
        <w:szCs w:val="16"/>
      </w:rPr>
      <w:fldChar w:fldCharType="begin"/>
    </w:r>
    <w:r w:rsidRPr="00552CF8">
      <w:rPr>
        <w:sz w:val="16"/>
        <w:szCs w:val="16"/>
      </w:rPr>
      <w:instrText xml:space="preserve"> PAGE   \* MERGEFORMAT </w:instrText>
    </w:r>
    <w:r w:rsidRPr="00552CF8">
      <w:rPr>
        <w:b w:val="0"/>
        <w:sz w:val="16"/>
        <w:szCs w:val="16"/>
      </w:rPr>
      <w:fldChar w:fldCharType="separate"/>
    </w:r>
    <w:r w:rsidR="00E854B3" w:rsidRPr="00E854B3">
      <w:rPr>
        <w:b w:val="0"/>
        <w:noProof/>
        <w:sz w:val="16"/>
        <w:szCs w:val="16"/>
      </w:rPr>
      <w:t>2</w:t>
    </w:r>
    <w:r w:rsidRPr="00552CF8">
      <w:rPr>
        <w:b w:val="0"/>
        <w:sz w:val="16"/>
        <w:szCs w:val="16"/>
      </w:rPr>
      <w:fldChar w:fldCharType="end"/>
    </w:r>
    <w:r w:rsidRPr="00552CF8">
      <w:rPr>
        <w:sz w:val="16"/>
        <w:szCs w:val="16"/>
      </w:rPr>
      <w:t xml:space="preserve">  von  </w:t>
    </w:r>
    <w:r w:rsidRPr="00552CF8">
      <w:rPr>
        <w:b w:val="0"/>
        <w:sz w:val="16"/>
        <w:szCs w:val="16"/>
      </w:rPr>
      <w:fldChar w:fldCharType="begin"/>
    </w:r>
    <w:r w:rsidRPr="00552CF8">
      <w:rPr>
        <w:sz w:val="16"/>
        <w:szCs w:val="16"/>
      </w:rPr>
      <w:instrText xml:space="preserve"> NUMPAGES   \* MERGEFORMAT </w:instrText>
    </w:r>
    <w:r w:rsidRPr="00552CF8">
      <w:rPr>
        <w:b w:val="0"/>
        <w:sz w:val="16"/>
        <w:szCs w:val="16"/>
      </w:rPr>
      <w:fldChar w:fldCharType="separate"/>
    </w:r>
    <w:r w:rsidR="00E854B3" w:rsidRPr="00E854B3">
      <w:rPr>
        <w:b w:val="0"/>
        <w:noProof/>
        <w:sz w:val="16"/>
        <w:szCs w:val="16"/>
      </w:rPr>
      <w:t>2</w:t>
    </w:r>
    <w:r w:rsidRPr="00552CF8">
      <w:rPr>
        <w:b w:val="0"/>
        <w:sz w:val="16"/>
        <w:szCs w:val="16"/>
      </w:rPr>
      <w:fldChar w:fldCharType="end"/>
    </w:r>
  </w:p>
  <w:p w:rsidR="00693A97" w:rsidRDefault="00693A97" w:rsidP="0098100A"/>
  <w:p w:rsidR="00693A97" w:rsidRDefault="00693A97" w:rsidP="00981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rsidP="003175DB"/>
  <w:p w:rsidR="00693A97" w:rsidRDefault="00693A97"/>
  <w:p w:rsidR="00693A97" w:rsidRDefault="00693A97" w:rsidP="005551FB"/>
  <w:p w:rsidR="00693A97" w:rsidRDefault="00693A97" w:rsidP="0098100A"/>
  <w:p w:rsidR="00693A97" w:rsidRDefault="00693A97" w:rsidP="0098100A"/>
  <w:p w:rsidR="00693A97" w:rsidRDefault="00693A97" w:rsidP="00981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EF695F" w:rsidRDefault="000D5FE4" w:rsidP="00D16D29">
    <w:pPr>
      <w:pStyle w:val="Kopfzeile"/>
      <w:rPr>
        <w:sz w:val="18"/>
        <w:szCs w:val="18"/>
      </w:rPr>
    </w:pPr>
    <w:r>
      <w:rPr>
        <w:noProof/>
      </w:rPr>
      <w:drawing>
        <wp:anchor distT="0" distB="0" distL="114300" distR="114300" simplePos="0" relativeHeight="251657216" behindDoc="0" locked="0" layoutInCell="1" allowOverlap="1">
          <wp:simplePos x="0" y="0"/>
          <wp:positionH relativeFrom="column">
            <wp:posOffset>4145280</wp:posOffset>
          </wp:positionH>
          <wp:positionV relativeFrom="paragraph">
            <wp:posOffset>-19685</wp:posOffset>
          </wp:positionV>
          <wp:extent cx="1727835" cy="741680"/>
          <wp:effectExtent l="0" t="0" r="5715" b="127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A97" w:rsidRDefault="00693A97" w:rsidP="00D16D29">
    <w:pPr>
      <w:pStyle w:val="Kopfzeile"/>
      <w:rPr>
        <w:sz w:val="18"/>
        <w:szCs w:val="18"/>
      </w:rPr>
    </w:pPr>
  </w:p>
  <w:p w:rsidR="00693A97" w:rsidRPr="00EF695F" w:rsidRDefault="00693A97" w:rsidP="00D16D29">
    <w:pPr>
      <w:pStyle w:val="Kopfzeile"/>
      <w:rPr>
        <w:sz w:val="18"/>
        <w:szCs w:val="18"/>
      </w:rPr>
    </w:pPr>
  </w:p>
  <w:p w:rsidR="00693A97" w:rsidRDefault="00693A97" w:rsidP="00D16D29">
    <w:pPr>
      <w:pStyle w:val="Kopfzeile"/>
    </w:pPr>
  </w:p>
  <w:p w:rsidR="00693A97" w:rsidRDefault="00693A97" w:rsidP="00D16D29">
    <w:pPr>
      <w:pStyle w:val="Kopfzeile"/>
    </w:pPr>
  </w:p>
  <w:p w:rsidR="007B79BC" w:rsidRDefault="007B79BC" w:rsidP="00D16D29">
    <w:pPr>
      <w:pStyle w:val="Kopfzeile"/>
    </w:pPr>
  </w:p>
  <w:p w:rsidR="00693A97" w:rsidRPr="004C1DFA" w:rsidRDefault="00720DD9" w:rsidP="00D16D29">
    <w:pPr>
      <w:pStyle w:val="Kopfzeile"/>
      <w:rPr>
        <w:b w:val="0"/>
        <w:sz w:val="32"/>
        <w:szCs w:val="32"/>
      </w:rPr>
    </w:pPr>
    <w:r>
      <w:rPr>
        <w:b w:val="0"/>
        <w:sz w:val="32"/>
        <w:szCs w:val="32"/>
      </w:rPr>
      <w:t>Information</w:t>
    </w:r>
  </w:p>
  <w:p w:rsidR="007B79BC" w:rsidRDefault="007B79BC" w:rsidP="00D16D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344270C"/>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647B9"/>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42F5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D047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62004"/>
    <w:multiLevelType w:val="singleLevel"/>
    <w:tmpl w:val="F63AAE3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5E696A"/>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8443739"/>
    <w:multiLevelType w:val="multilevel"/>
    <w:tmpl w:val="403228AC"/>
    <w:lvl w:ilvl="0">
      <w:numFmt w:val="decimal"/>
      <w:lvlText w:val="%1"/>
      <w:lvlJc w:val="left"/>
      <w:pPr>
        <w:tabs>
          <w:tab w:val="num" w:pos="432"/>
        </w:tabs>
        <w:ind w:left="432" w:hanging="432"/>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CF3B70"/>
    <w:multiLevelType w:val="hybridMultilevel"/>
    <w:tmpl w:val="1584E984"/>
    <w:lvl w:ilvl="0" w:tplc="2C04F12A">
      <w:start w:val="1"/>
      <w:numFmt w:val="bullet"/>
      <w:lvlText w:val=""/>
      <w:lvlJc w:val="left"/>
      <w:pPr>
        <w:tabs>
          <w:tab w:val="num" w:pos="720"/>
        </w:tabs>
        <w:ind w:left="720" w:hanging="360"/>
      </w:pPr>
      <w:rPr>
        <w:rFonts w:ascii="Symbol" w:hAnsi="Symbol" w:hint="default"/>
      </w:rPr>
    </w:lvl>
    <w:lvl w:ilvl="1" w:tplc="91947802" w:tentative="1">
      <w:start w:val="1"/>
      <w:numFmt w:val="bullet"/>
      <w:lvlText w:val="o"/>
      <w:lvlJc w:val="left"/>
      <w:pPr>
        <w:tabs>
          <w:tab w:val="num" w:pos="1440"/>
        </w:tabs>
        <w:ind w:left="1440" w:hanging="360"/>
      </w:pPr>
      <w:rPr>
        <w:rFonts w:ascii="Courier New" w:hAnsi="Courier New" w:cs="Tahoma" w:hint="default"/>
      </w:rPr>
    </w:lvl>
    <w:lvl w:ilvl="2" w:tplc="78D88562" w:tentative="1">
      <w:start w:val="1"/>
      <w:numFmt w:val="bullet"/>
      <w:lvlText w:val=""/>
      <w:lvlJc w:val="left"/>
      <w:pPr>
        <w:tabs>
          <w:tab w:val="num" w:pos="2160"/>
        </w:tabs>
        <w:ind w:left="2160" w:hanging="360"/>
      </w:pPr>
      <w:rPr>
        <w:rFonts w:ascii="Wingdings" w:hAnsi="Wingdings" w:hint="default"/>
      </w:rPr>
    </w:lvl>
    <w:lvl w:ilvl="3" w:tplc="78DAC6C6" w:tentative="1">
      <w:start w:val="1"/>
      <w:numFmt w:val="bullet"/>
      <w:lvlText w:val=""/>
      <w:lvlJc w:val="left"/>
      <w:pPr>
        <w:tabs>
          <w:tab w:val="num" w:pos="2880"/>
        </w:tabs>
        <w:ind w:left="2880" w:hanging="360"/>
      </w:pPr>
      <w:rPr>
        <w:rFonts w:ascii="Symbol" w:hAnsi="Symbol" w:hint="default"/>
      </w:rPr>
    </w:lvl>
    <w:lvl w:ilvl="4" w:tplc="4288E53E" w:tentative="1">
      <w:start w:val="1"/>
      <w:numFmt w:val="bullet"/>
      <w:lvlText w:val="o"/>
      <w:lvlJc w:val="left"/>
      <w:pPr>
        <w:tabs>
          <w:tab w:val="num" w:pos="3600"/>
        </w:tabs>
        <w:ind w:left="3600" w:hanging="360"/>
      </w:pPr>
      <w:rPr>
        <w:rFonts w:ascii="Courier New" w:hAnsi="Courier New" w:cs="Tahoma" w:hint="default"/>
      </w:rPr>
    </w:lvl>
    <w:lvl w:ilvl="5" w:tplc="F7F4E676" w:tentative="1">
      <w:start w:val="1"/>
      <w:numFmt w:val="bullet"/>
      <w:lvlText w:val=""/>
      <w:lvlJc w:val="left"/>
      <w:pPr>
        <w:tabs>
          <w:tab w:val="num" w:pos="4320"/>
        </w:tabs>
        <w:ind w:left="4320" w:hanging="360"/>
      </w:pPr>
      <w:rPr>
        <w:rFonts w:ascii="Wingdings" w:hAnsi="Wingdings" w:hint="default"/>
      </w:rPr>
    </w:lvl>
    <w:lvl w:ilvl="6" w:tplc="C480F84A" w:tentative="1">
      <w:start w:val="1"/>
      <w:numFmt w:val="bullet"/>
      <w:lvlText w:val=""/>
      <w:lvlJc w:val="left"/>
      <w:pPr>
        <w:tabs>
          <w:tab w:val="num" w:pos="5040"/>
        </w:tabs>
        <w:ind w:left="5040" w:hanging="360"/>
      </w:pPr>
      <w:rPr>
        <w:rFonts w:ascii="Symbol" w:hAnsi="Symbol" w:hint="default"/>
      </w:rPr>
    </w:lvl>
    <w:lvl w:ilvl="7" w:tplc="D604E05C" w:tentative="1">
      <w:start w:val="1"/>
      <w:numFmt w:val="bullet"/>
      <w:lvlText w:val="o"/>
      <w:lvlJc w:val="left"/>
      <w:pPr>
        <w:tabs>
          <w:tab w:val="num" w:pos="5760"/>
        </w:tabs>
        <w:ind w:left="5760" w:hanging="360"/>
      </w:pPr>
      <w:rPr>
        <w:rFonts w:ascii="Courier New" w:hAnsi="Courier New" w:cs="Tahoma" w:hint="default"/>
      </w:rPr>
    </w:lvl>
    <w:lvl w:ilvl="8" w:tplc="E00CCD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6E0E"/>
    <w:multiLevelType w:val="singleLevel"/>
    <w:tmpl w:val="A95012AA"/>
    <w:lvl w:ilvl="0">
      <w:start w:val="1"/>
      <w:numFmt w:val="bullet"/>
      <w:pStyle w:val="AufzhlungQuadrat"/>
      <w:lvlText w:val=""/>
      <w:lvlJc w:val="left"/>
      <w:pPr>
        <w:tabs>
          <w:tab w:val="num" w:pos="360"/>
        </w:tabs>
        <w:ind w:left="360" w:hanging="360"/>
      </w:pPr>
      <w:rPr>
        <w:rFonts w:ascii="Wingdings" w:hAnsi="Wingdings" w:hint="default"/>
      </w:rPr>
    </w:lvl>
  </w:abstractNum>
  <w:abstractNum w:abstractNumId="10" w15:restartNumberingAfterBreak="0">
    <w:nsid w:val="1A962F6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0A244B"/>
    <w:multiLevelType w:val="singleLevel"/>
    <w:tmpl w:val="67663F10"/>
    <w:lvl w:ilvl="0">
      <w:start w:val="1"/>
      <w:numFmt w:val="bullet"/>
      <w:pStyle w:val="AufzhlungRaute"/>
      <w:lvlText w:val=""/>
      <w:lvlJc w:val="left"/>
      <w:pPr>
        <w:tabs>
          <w:tab w:val="num" w:pos="360"/>
        </w:tabs>
        <w:ind w:left="360" w:hanging="360"/>
      </w:pPr>
      <w:rPr>
        <w:rFonts w:ascii="Symbol" w:hAnsi="Symbol" w:hint="default"/>
      </w:rPr>
    </w:lvl>
  </w:abstractNum>
  <w:abstractNum w:abstractNumId="12" w15:restartNumberingAfterBreak="0">
    <w:nsid w:val="27B8062E"/>
    <w:multiLevelType w:val="hybridMultilevel"/>
    <w:tmpl w:val="60ECD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281FA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B82496"/>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A01940"/>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CB63F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EE2CF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553AB7"/>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32E1D"/>
    <w:multiLevelType w:val="multilevel"/>
    <w:tmpl w:val="F974876C"/>
    <w:lvl w:ilvl="0">
      <w:numFmt w:val="decimal"/>
      <w:pStyle w:val="berschrift1"/>
      <w:lvlText w:val="%1"/>
      <w:lvlJc w:val="left"/>
      <w:pPr>
        <w:tabs>
          <w:tab w:val="num" w:pos="432"/>
        </w:tabs>
        <w:ind w:left="432" w:hanging="432"/>
      </w:pPr>
    </w:lvl>
    <w:lvl w:ilvl="1">
      <w:start w:val="1"/>
      <w:numFmt w:val="decimal"/>
      <w:pStyle w:val="berschrift2"/>
      <w:isLg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0" w15:restartNumberingAfterBreak="0">
    <w:nsid w:val="444979D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391DA6"/>
    <w:multiLevelType w:val="singleLevel"/>
    <w:tmpl w:val="D54C6838"/>
    <w:lvl w:ilvl="0">
      <w:start w:val="1"/>
      <w:numFmt w:val="bullet"/>
      <w:pStyle w:val="AufzhlungStrich"/>
      <w:lvlText w:val="-"/>
      <w:lvlJc w:val="left"/>
      <w:pPr>
        <w:tabs>
          <w:tab w:val="num" w:pos="360"/>
        </w:tabs>
        <w:ind w:left="360" w:hanging="360"/>
      </w:pPr>
      <w:rPr>
        <w:sz w:val="16"/>
      </w:rPr>
    </w:lvl>
  </w:abstractNum>
  <w:abstractNum w:abstractNumId="22" w15:restartNumberingAfterBreak="0">
    <w:nsid w:val="4B473162"/>
    <w:multiLevelType w:val="singleLevel"/>
    <w:tmpl w:val="0DBE969E"/>
    <w:lvl w:ilvl="0">
      <w:start w:val="1"/>
      <w:numFmt w:val="decimal"/>
      <w:lvlText w:val="%1."/>
      <w:legacy w:legacy="1" w:legacySpace="0" w:legacyIndent="360"/>
      <w:lvlJc w:val="left"/>
      <w:pPr>
        <w:ind w:left="360" w:hanging="360"/>
      </w:pPr>
    </w:lvl>
  </w:abstractNum>
  <w:abstractNum w:abstractNumId="23" w15:restartNumberingAfterBreak="0">
    <w:nsid w:val="4BC4739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5C36F1"/>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B0436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403B9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6F3DB9"/>
    <w:multiLevelType w:val="hybridMultilevel"/>
    <w:tmpl w:val="441AE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302A8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B60A78"/>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71364A"/>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805BA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7A17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0B22FC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C449BE"/>
    <w:multiLevelType w:val="singleLevel"/>
    <w:tmpl w:val="DAB048BC"/>
    <w:lvl w:ilvl="0">
      <w:start w:val="1"/>
      <w:numFmt w:val="bullet"/>
      <w:pStyle w:val="AufzhlungPunkt"/>
      <w:lvlText w:val=""/>
      <w:lvlJc w:val="left"/>
      <w:pPr>
        <w:tabs>
          <w:tab w:val="num" w:pos="360"/>
        </w:tabs>
        <w:ind w:left="357" w:hanging="357"/>
      </w:pPr>
      <w:rPr>
        <w:rFonts w:ascii="Symbol" w:hAnsi="Symbol" w:hint="default"/>
      </w:rPr>
    </w:lvl>
  </w:abstractNum>
  <w:abstractNum w:abstractNumId="35" w15:restartNumberingAfterBreak="0">
    <w:nsid w:val="75DF3C7B"/>
    <w:multiLevelType w:val="hybridMultilevel"/>
    <w:tmpl w:val="D0C23B68"/>
    <w:lvl w:ilvl="0" w:tplc="2E365264">
      <w:start w:val="1"/>
      <w:numFmt w:val="bullet"/>
      <w:lvlText w:val=""/>
      <w:lvlJc w:val="left"/>
      <w:pPr>
        <w:tabs>
          <w:tab w:val="num" w:pos="360"/>
        </w:tabs>
        <w:ind w:left="360" w:hanging="360"/>
      </w:pPr>
      <w:rPr>
        <w:rFonts w:ascii="Symbol" w:hAnsi="Symbol" w:hint="default"/>
      </w:rPr>
    </w:lvl>
    <w:lvl w:ilvl="1" w:tplc="5D3E693E" w:tentative="1">
      <w:start w:val="1"/>
      <w:numFmt w:val="bullet"/>
      <w:lvlText w:val="o"/>
      <w:lvlJc w:val="left"/>
      <w:pPr>
        <w:tabs>
          <w:tab w:val="num" w:pos="1080"/>
        </w:tabs>
        <w:ind w:left="1080" w:hanging="360"/>
      </w:pPr>
      <w:rPr>
        <w:rFonts w:ascii="Courier New" w:hAnsi="Courier New" w:cs="Tahoma" w:hint="default"/>
      </w:rPr>
    </w:lvl>
    <w:lvl w:ilvl="2" w:tplc="DE96DB2E" w:tentative="1">
      <w:start w:val="1"/>
      <w:numFmt w:val="bullet"/>
      <w:lvlText w:val=""/>
      <w:lvlJc w:val="left"/>
      <w:pPr>
        <w:tabs>
          <w:tab w:val="num" w:pos="1800"/>
        </w:tabs>
        <w:ind w:left="1800" w:hanging="360"/>
      </w:pPr>
      <w:rPr>
        <w:rFonts w:ascii="Wingdings" w:hAnsi="Wingdings" w:hint="default"/>
      </w:rPr>
    </w:lvl>
    <w:lvl w:ilvl="3" w:tplc="1EAE4B84" w:tentative="1">
      <w:start w:val="1"/>
      <w:numFmt w:val="bullet"/>
      <w:lvlText w:val=""/>
      <w:lvlJc w:val="left"/>
      <w:pPr>
        <w:tabs>
          <w:tab w:val="num" w:pos="2520"/>
        </w:tabs>
        <w:ind w:left="2520" w:hanging="360"/>
      </w:pPr>
      <w:rPr>
        <w:rFonts w:ascii="Symbol" w:hAnsi="Symbol" w:hint="default"/>
      </w:rPr>
    </w:lvl>
    <w:lvl w:ilvl="4" w:tplc="6860B128" w:tentative="1">
      <w:start w:val="1"/>
      <w:numFmt w:val="bullet"/>
      <w:lvlText w:val="o"/>
      <w:lvlJc w:val="left"/>
      <w:pPr>
        <w:tabs>
          <w:tab w:val="num" w:pos="3240"/>
        </w:tabs>
        <w:ind w:left="3240" w:hanging="360"/>
      </w:pPr>
      <w:rPr>
        <w:rFonts w:ascii="Courier New" w:hAnsi="Courier New" w:cs="Tahoma" w:hint="default"/>
      </w:rPr>
    </w:lvl>
    <w:lvl w:ilvl="5" w:tplc="D16C9986" w:tentative="1">
      <w:start w:val="1"/>
      <w:numFmt w:val="bullet"/>
      <w:lvlText w:val=""/>
      <w:lvlJc w:val="left"/>
      <w:pPr>
        <w:tabs>
          <w:tab w:val="num" w:pos="3960"/>
        </w:tabs>
        <w:ind w:left="3960" w:hanging="360"/>
      </w:pPr>
      <w:rPr>
        <w:rFonts w:ascii="Wingdings" w:hAnsi="Wingdings" w:hint="default"/>
      </w:rPr>
    </w:lvl>
    <w:lvl w:ilvl="6" w:tplc="300C888C" w:tentative="1">
      <w:start w:val="1"/>
      <w:numFmt w:val="bullet"/>
      <w:lvlText w:val=""/>
      <w:lvlJc w:val="left"/>
      <w:pPr>
        <w:tabs>
          <w:tab w:val="num" w:pos="4680"/>
        </w:tabs>
        <w:ind w:left="4680" w:hanging="360"/>
      </w:pPr>
      <w:rPr>
        <w:rFonts w:ascii="Symbol" w:hAnsi="Symbol" w:hint="default"/>
      </w:rPr>
    </w:lvl>
    <w:lvl w:ilvl="7" w:tplc="C824C2BA" w:tentative="1">
      <w:start w:val="1"/>
      <w:numFmt w:val="bullet"/>
      <w:lvlText w:val="o"/>
      <w:lvlJc w:val="left"/>
      <w:pPr>
        <w:tabs>
          <w:tab w:val="num" w:pos="5400"/>
        </w:tabs>
        <w:ind w:left="5400" w:hanging="360"/>
      </w:pPr>
      <w:rPr>
        <w:rFonts w:ascii="Courier New" w:hAnsi="Courier New" w:cs="Tahoma" w:hint="default"/>
      </w:rPr>
    </w:lvl>
    <w:lvl w:ilvl="8" w:tplc="091A895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A3791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0A2F3B"/>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FB11D8"/>
    <w:multiLevelType w:val="hybridMultilevel"/>
    <w:tmpl w:val="9AF63B6C"/>
    <w:lvl w:ilvl="0" w:tplc="DDC8E0A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01BB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4A4A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E740915"/>
    <w:multiLevelType w:val="singleLevel"/>
    <w:tmpl w:val="1C369344"/>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1"/>
  </w:num>
  <w:num w:numId="3">
    <w:abstractNumId w:val="21"/>
  </w:num>
  <w:num w:numId="4">
    <w:abstractNumId w:val="0"/>
  </w:num>
  <w:num w:numId="5">
    <w:abstractNumId w:val="22"/>
  </w:num>
  <w:num w:numId="6">
    <w:abstractNumId w:val="5"/>
  </w:num>
  <w:num w:numId="7">
    <w:abstractNumId w:val="9"/>
  </w:num>
  <w:num w:numId="8">
    <w:abstractNumId w:val="7"/>
  </w:num>
  <w:num w:numId="9">
    <w:abstractNumId w:val="15"/>
  </w:num>
  <w:num w:numId="10">
    <w:abstractNumId w:val="37"/>
  </w:num>
  <w:num w:numId="11">
    <w:abstractNumId w:val="23"/>
  </w:num>
  <w:num w:numId="12">
    <w:abstractNumId w:val="8"/>
  </w:num>
  <w:num w:numId="13">
    <w:abstractNumId w:val="35"/>
  </w:num>
  <w:num w:numId="14">
    <w:abstractNumId w:val="17"/>
  </w:num>
  <w:num w:numId="15">
    <w:abstractNumId w:val="30"/>
  </w:num>
  <w:num w:numId="16">
    <w:abstractNumId w:val="4"/>
  </w:num>
  <w:num w:numId="17">
    <w:abstractNumId w:val="13"/>
  </w:num>
  <w:num w:numId="18">
    <w:abstractNumId w:val="1"/>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4"/>
  </w:num>
  <w:num w:numId="20">
    <w:abstractNumId w:val="33"/>
  </w:num>
  <w:num w:numId="21">
    <w:abstractNumId w:val="36"/>
  </w:num>
  <w:num w:numId="22">
    <w:abstractNumId w:val="39"/>
  </w:num>
  <w:num w:numId="23">
    <w:abstractNumId w:val="26"/>
  </w:num>
  <w:num w:numId="24">
    <w:abstractNumId w:val="41"/>
  </w:num>
  <w:num w:numId="25">
    <w:abstractNumId w:val="10"/>
  </w:num>
  <w:num w:numId="26">
    <w:abstractNumId w:val="2"/>
  </w:num>
  <w:num w:numId="27">
    <w:abstractNumId w:val="28"/>
  </w:num>
  <w:num w:numId="28">
    <w:abstractNumId w:val="20"/>
  </w:num>
  <w:num w:numId="29">
    <w:abstractNumId w:val="31"/>
  </w:num>
  <w:num w:numId="30">
    <w:abstractNumId w:val="14"/>
  </w:num>
  <w:num w:numId="31">
    <w:abstractNumId w:val="18"/>
  </w:num>
  <w:num w:numId="32">
    <w:abstractNumId w:val="16"/>
  </w:num>
  <w:num w:numId="33">
    <w:abstractNumId w:val="29"/>
  </w:num>
  <w:num w:numId="34">
    <w:abstractNumId w:val="25"/>
  </w:num>
  <w:num w:numId="35">
    <w:abstractNumId w:val="3"/>
  </w:num>
  <w:num w:numId="36">
    <w:abstractNumId w:val="32"/>
  </w:num>
  <w:num w:numId="37">
    <w:abstractNumId w:val="40"/>
  </w:num>
  <w:num w:numId="38">
    <w:abstractNumId w:val="6"/>
  </w:num>
  <w:num w:numId="39">
    <w:abstractNumId w:val="19"/>
  </w:num>
  <w:num w:numId="40">
    <w:abstractNumId w:val="38"/>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D9"/>
    <w:rsid w:val="00000088"/>
    <w:rsid w:val="00001CF0"/>
    <w:rsid w:val="00020444"/>
    <w:rsid w:val="00027F3A"/>
    <w:rsid w:val="00036714"/>
    <w:rsid w:val="000455F1"/>
    <w:rsid w:val="000527B1"/>
    <w:rsid w:val="00056BA8"/>
    <w:rsid w:val="0008061E"/>
    <w:rsid w:val="00080A35"/>
    <w:rsid w:val="00082A84"/>
    <w:rsid w:val="000840DE"/>
    <w:rsid w:val="000C73D2"/>
    <w:rsid w:val="000D4E80"/>
    <w:rsid w:val="000D5FE4"/>
    <w:rsid w:val="000D7DA0"/>
    <w:rsid w:val="000E089A"/>
    <w:rsid w:val="000E6750"/>
    <w:rsid w:val="000E686C"/>
    <w:rsid w:val="000F0704"/>
    <w:rsid w:val="00104081"/>
    <w:rsid w:val="00106246"/>
    <w:rsid w:val="0013574C"/>
    <w:rsid w:val="00137C24"/>
    <w:rsid w:val="001403C9"/>
    <w:rsid w:val="0014057D"/>
    <w:rsid w:val="001412CC"/>
    <w:rsid w:val="00142AAA"/>
    <w:rsid w:val="001503F2"/>
    <w:rsid w:val="001614EB"/>
    <w:rsid w:val="001A0841"/>
    <w:rsid w:val="001B405D"/>
    <w:rsid w:val="001B7139"/>
    <w:rsid w:val="001D02D5"/>
    <w:rsid w:val="001D4AA0"/>
    <w:rsid w:val="001E09AB"/>
    <w:rsid w:val="001F171D"/>
    <w:rsid w:val="001F2830"/>
    <w:rsid w:val="001F3E06"/>
    <w:rsid w:val="001F4D66"/>
    <w:rsid w:val="001F56DF"/>
    <w:rsid w:val="00200E64"/>
    <w:rsid w:val="00214C5D"/>
    <w:rsid w:val="00215F73"/>
    <w:rsid w:val="002176AD"/>
    <w:rsid w:val="0022292D"/>
    <w:rsid w:val="002313FA"/>
    <w:rsid w:val="00245CDC"/>
    <w:rsid w:val="002478A1"/>
    <w:rsid w:val="002508CC"/>
    <w:rsid w:val="00270922"/>
    <w:rsid w:val="002722CA"/>
    <w:rsid w:val="0028473E"/>
    <w:rsid w:val="00287218"/>
    <w:rsid w:val="0029127B"/>
    <w:rsid w:val="00293ADF"/>
    <w:rsid w:val="00297F0E"/>
    <w:rsid w:val="002A3271"/>
    <w:rsid w:val="002A7248"/>
    <w:rsid w:val="002B04F5"/>
    <w:rsid w:val="002B49CC"/>
    <w:rsid w:val="002D0973"/>
    <w:rsid w:val="002D67D2"/>
    <w:rsid w:val="002E215D"/>
    <w:rsid w:val="002E46D1"/>
    <w:rsid w:val="002E66B3"/>
    <w:rsid w:val="002F0912"/>
    <w:rsid w:val="00311088"/>
    <w:rsid w:val="00313692"/>
    <w:rsid w:val="00315F15"/>
    <w:rsid w:val="00316D02"/>
    <w:rsid w:val="003175DB"/>
    <w:rsid w:val="00340EE8"/>
    <w:rsid w:val="00345665"/>
    <w:rsid w:val="003536FC"/>
    <w:rsid w:val="0035542E"/>
    <w:rsid w:val="00363852"/>
    <w:rsid w:val="003674D9"/>
    <w:rsid w:val="003764E8"/>
    <w:rsid w:val="0038156A"/>
    <w:rsid w:val="003876BD"/>
    <w:rsid w:val="00391823"/>
    <w:rsid w:val="00391FDD"/>
    <w:rsid w:val="003B1E9C"/>
    <w:rsid w:val="003C195A"/>
    <w:rsid w:val="003C2F38"/>
    <w:rsid w:val="003C6673"/>
    <w:rsid w:val="003D2AE1"/>
    <w:rsid w:val="003D34C9"/>
    <w:rsid w:val="003D4A87"/>
    <w:rsid w:val="003D77A2"/>
    <w:rsid w:val="003E19C4"/>
    <w:rsid w:val="003E1EA8"/>
    <w:rsid w:val="003E2618"/>
    <w:rsid w:val="003F55DD"/>
    <w:rsid w:val="004103F1"/>
    <w:rsid w:val="00414255"/>
    <w:rsid w:val="00414C57"/>
    <w:rsid w:val="004251EA"/>
    <w:rsid w:val="00444240"/>
    <w:rsid w:val="00447CD1"/>
    <w:rsid w:val="00473BA0"/>
    <w:rsid w:val="00477C55"/>
    <w:rsid w:val="004839DE"/>
    <w:rsid w:val="004962A7"/>
    <w:rsid w:val="004A4FF9"/>
    <w:rsid w:val="004B1601"/>
    <w:rsid w:val="004B3A29"/>
    <w:rsid w:val="004B610F"/>
    <w:rsid w:val="004B6DB5"/>
    <w:rsid w:val="004C1DFA"/>
    <w:rsid w:val="004D3D6E"/>
    <w:rsid w:val="004D6284"/>
    <w:rsid w:val="004D6BAA"/>
    <w:rsid w:val="004D7DF0"/>
    <w:rsid w:val="004E329C"/>
    <w:rsid w:val="004E376E"/>
    <w:rsid w:val="004F3EDB"/>
    <w:rsid w:val="004F5F5E"/>
    <w:rsid w:val="005047EE"/>
    <w:rsid w:val="00504E6A"/>
    <w:rsid w:val="00523970"/>
    <w:rsid w:val="00524713"/>
    <w:rsid w:val="00535956"/>
    <w:rsid w:val="0054217D"/>
    <w:rsid w:val="00546047"/>
    <w:rsid w:val="00552675"/>
    <w:rsid w:val="00552CF8"/>
    <w:rsid w:val="005551FB"/>
    <w:rsid w:val="00565C16"/>
    <w:rsid w:val="005676FF"/>
    <w:rsid w:val="00567EBF"/>
    <w:rsid w:val="00580317"/>
    <w:rsid w:val="00584C3B"/>
    <w:rsid w:val="005C6020"/>
    <w:rsid w:val="005E5F6C"/>
    <w:rsid w:val="005F2BDA"/>
    <w:rsid w:val="005F30E0"/>
    <w:rsid w:val="005F5C8B"/>
    <w:rsid w:val="0060162F"/>
    <w:rsid w:val="00605F1F"/>
    <w:rsid w:val="00611FAC"/>
    <w:rsid w:val="00617E52"/>
    <w:rsid w:val="006238C7"/>
    <w:rsid w:val="006303A5"/>
    <w:rsid w:val="0063415C"/>
    <w:rsid w:val="00636267"/>
    <w:rsid w:val="00645AD2"/>
    <w:rsid w:val="00645EF8"/>
    <w:rsid w:val="00666273"/>
    <w:rsid w:val="006715D4"/>
    <w:rsid w:val="00672D84"/>
    <w:rsid w:val="00685252"/>
    <w:rsid w:val="006930B4"/>
    <w:rsid w:val="00693A7D"/>
    <w:rsid w:val="00693A97"/>
    <w:rsid w:val="006B10C4"/>
    <w:rsid w:val="006B1DA5"/>
    <w:rsid w:val="006D249B"/>
    <w:rsid w:val="006D2B12"/>
    <w:rsid w:val="006D7C50"/>
    <w:rsid w:val="006E7357"/>
    <w:rsid w:val="00706662"/>
    <w:rsid w:val="00713916"/>
    <w:rsid w:val="00720DD9"/>
    <w:rsid w:val="0073511D"/>
    <w:rsid w:val="007370CF"/>
    <w:rsid w:val="00744A43"/>
    <w:rsid w:val="00746BA8"/>
    <w:rsid w:val="007533FA"/>
    <w:rsid w:val="00760A01"/>
    <w:rsid w:val="00762C8A"/>
    <w:rsid w:val="00764D85"/>
    <w:rsid w:val="00783401"/>
    <w:rsid w:val="007A3EA5"/>
    <w:rsid w:val="007A3EC6"/>
    <w:rsid w:val="007A6BF3"/>
    <w:rsid w:val="007B79BC"/>
    <w:rsid w:val="007C6CE6"/>
    <w:rsid w:val="007D5BCD"/>
    <w:rsid w:val="007F045B"/>
    <w:rsid w:val="00801095"/>
    <w:rsid w:val="00803D0E"/>
    <w:rsid w:val="00815AD8"/>
    <w:rsid w:val="00817CC5"/>
    <w:rsid w:val="0082640F"/>
    <w:rsid w:val="00845286"/>
    <w:rsid w:val="00845BEA"/>
    <w:rsid w:val="008523E8"/>
    <w:rsid w:val="00856899"/>
    <w:rsid w:val="0087213B"/>
    <w:rsid w:val="00877947"/>
    <w:rsid w:val="0089597F"/>
    <w:rsid w:val="00895C6F"/>
    <w:rsid w:val="008C074B"/>
    <w:rsid w:val="008C50DB"/>
    <w:rsid w:val="008C6127"/>
    <w:rsid w:val="008D201B"/>
    <w:rsid w:val="008D2B18"/>
    <w:rsid w:val="008D3DC2"/>
    <w:rsid w:val="008F01E4"/>
    <w:rsid w:val="00901331"/>
    <w:rsid w:val="009169AA"/>
    <w:rsid w:val="00932C39"/>
    <w:rsid w:val="00935F73"/>
    <w:rsid w:val="009447E2"/>
    <w:rsid w:val="009778D6"/>
    <w:rsid w:val="0098100A"/>
    <w:rsid w:val="0098347A"/>
    <w:rsid w:val="0098654C"/>
    <w:rsid w:val="00987736"/>
    <w:rsid w:val="0099626B"/>
    <w:rsid w:val="009A26B4"/>
    <w:rsid w:val="009B01CC"/>
    <w:rsid w:val="009B7F32"/>
    <w:rsid w:val="009D18B6"/>
    <w:rsid w:val="009D54EF"/>
    <w:rsid w:val="009E62AC"/>
    <w:rsid w:val="009F2E3C"/>
    <w:rsid w:val="009F5CD9"/>
    <w:rsid w:val="00A01C3C"/>
    <w:rsid w:val="00A02F4A"/>
    <w:rsid w:val="00A03B53"/>
    <w:rsid w:val="00A045D5"/>
    <w:rsid w:val="00A0670B"/>
    <w:rsid w:val="00A1303A"/>
    <w:rsid w:val="00A1690D"/>
    <w:rsid w:val="00A221A1"/>
    <w:rsid w:val="00A2294B"/>
    <w:rsid w:val="00A3066D"/>
    <w:rsid w:val="00A31F74"/>
    <w:rsid w:val="00A34F78"/>
    <w:rsid w:val="00A36727"/>
    <w:rsid w:val="00A42822"/>
    <w:rsid w:val="00A4620B"/>
    <w:rsid w:val="00A47A77"/>
    <w:rsid w:val="00A5046B"/>
    <w:rsid w:val="00A5268C"/>
    <w:rsid w:val="00A62D2D"/>
    <w:rsid w:val="00A62EDC"/>
    <w:rsid w:val="00A65DFB"/>
    <w:rsid w:val="00A66DDE"/>
    <w:rsid w:val="00A7734A"/>
    <w:rsid w:val="00A91A01"/>
    <w:rsid w:val="00AA15EA"/>
    <w:rsid w:val="00AB246E"/>
    <w:rsid w:val="00AC1D30"/>
    <w:rsid w:val="00AC1FC4"/>
    <w:rsid w:val="00AC3B84"/>
    <w:rsid w:val="00AD348C"/>
    <w:rsid w:val="00AD79C6"/>
    <w:rsid w:val="00AE100A"/>
    <w:rsid w:val="00AE1B28"/>
    <w:rsid w:val="00B03ADA"/>
    <w:rsid w:val="00B059E6"/>
    <w:rsid w:val="00B111D9"/>
    <w:rsid w:val="00B22EFA"/>
    <w:rsid w:val="00B3050D"/>
    <w:rsid w:val="00B32056"/>
    <w:rsid w:val="00B352C5"/>
    <w:rsid w:val="00B36DE5"/>
    <w:rsid w:val="00B41C52"/>
    <w:rsid w:val="00B51344"/>
    <w:rsid w:val="00B53E66"/>
    <w:rsid w:val="00B57B4E"/>
    <w:rsid w:val="00B64420"/>
    <w:rsid w:val="00B867C6"/>
    <w:rsid w:val="00B93E39"/>
    <w:rsid w:val="00B966AF"/>
    <w:rsid w:val="00BB2CAB"/>
    <w:rsid w:val="00BB690A"/>
    <w:rsid w:val="00BC008E"/>
    <w:rsid w:val="00BC18FC"/>
    <w:rsid w:val="00BC6315"/>
    <w:rsid w:val="00BD6294"/>
    <w:rsid w:val="00BE3B45"/>
    <w:rsid w:val="00C01CBA"/>
    <w:rsid w:val="00C03E85"/>
    <w:rsid w:val="00C03F16"/>
    <w:rsid w:val="00C1173A"/>
    <w:rsid w:val="00C33A94"/>
    <w:rsid w:val="00C42023"/>
    <w:rsid w:val="00C504EF"/>
    <w:rsid w:val="00C619BF"/>
    <w:rsid w:val="00C62469"/>
    <w:rsid w:val="00C6613A"/>
    <w:rsid w:val="00C66DA0"/>
    <w:rsid w:val="00C74339"/>
    <w:rsid w:val="00C90F4A"/>
    <w:rsid w:val="00C92AF3"/>
    <w:rsid w:val="00C9643C"/>
    <w:rsid w:val="00CA14F1"/>
    <w:rsid w:val="00CA77ED"/>
    <w:rsid w:val="00CB5DEB"/>
    <w:rsid w:val="00CC0143"/>
    <w:rsid w:val="00CD7715"/>
    <w:rsid w:val="00CD773D"/>
    <w:rsid w:val="00CE1ADC"/>
    <w:rsid w:val="00CF1C25"/>
    <w:rsid w:val="00CF48C2"/>
    <w:rsid w:val="00CF4AD7"/>
    <w:rsid w:val="00D04F13"/>
    <w:rsid w:val="00D12117"/>
    <w:rsid w:val="00D13A9F"/>
    <w:rsid w:val="00D16D29"/>
    <w:rsid w:val="00D32CED"/>
    <w:rsid w:val="00D33A40"/>
    <w:rsid w:val="00D44F1A"/>
    <w:rsid w:val="00D5563C"/>
    <w:rsid w:val="00D91CD2"/>
    <w:rsid w:val="00D92803"/>
    <w:rsid w:val="00DA1A45"/>
    <w:rsid w:val="00DF2BD5"/>
    <w:rsid w:val="00DF4D24"/>
    <w:rsid w:val="00E003C8"/>
    <w:rsid w:val="00E02693"/>
    <w:rsid w:val="00E03236"/>
    <w:rsid w:val="00E0728F"/>
    <w:rsid w:val="00E10A2E"/>
    <w:rsid w:val="00E113D6"/>
    <w:rsid w:val="00E151E1"/>
    <w:rsid w:val="00E24BDD"/>
    <w:rsid w:val="00E258D0"/>
    <w:rsid w:val="00E266B8"/>
    <w:rsid w:val="00E30BDD"/>
    <w:rsid w:val="00E451BF"/>
    <w:rsid w:val="00E54103"/>
    <w:rsid w:val="00E57661"/>
    <w:rsid w:val="00E64F8B"/>
    <w:rsid w:val="00E70D6D"/>
    <w:rsid w:val="00E804D2"/>
    <w:rsid w:val="00E80EFC"/>
    <w:rsid w:val="00E854B3"/>
    <w:rsid w:val="00E93FC1"/>
    <w:rsid w:val="00E950BC"/>
    <w:rsid w:val="00EB2590"/>
    <w:rsid w:val="00EB27FD"/>
    <w:rsid w:val="00EB4CAA"/>
    <w:rsid w:val="00EC638E"/>
    <w:rsid w:val="00ED7D45"/>
    <w:rsid w:val="00EE1050"/>
    <w:rsid w:val="00EF695F"/>
    <w:rsid w:val="00EF7B7B"/>
    <w:rsid w:val="00F400F1"/>
    <w:rsid w:val="00F67F08"/>
    <w:rsid w:val="00F85697"/>
    <w:rsid w:val="00FA5CF8"/>
    <w:rsid w:val="00FB5242"/>
    <w:rsid w:val="00FB76BD"/>
    <w:rsid w:val="00FC6E39"/>
    <w:rsid w:val="00FD6594"/>
    <w:rsid w:val="00FD7C72"/>
    <w:rsid w:val="00FF011B"/>
    <w:rsid w:val="00FF1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1B3BA3-708B-4A62-8D63-60D1755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20DD9"/>
    <w:pPr>
      <w:ind w:right="227"/>
    </w:pPr>
    <w:rPr>
      <w:rFonts w:ascii="Arial" w:eastAsiaTheme="minorHAnsi" w:hAnsi="Arial" w:cs="Arial"/>
      <w:b/>
      <w:color w:val="000000" w:themeColor="text1"/>
      <w:sz w:val="22"/>
      <w:lang w:eastAsia="en-US"/>
    </w:rPr>
  </w:style>
  <w:style w:type="paragraph" w:styleId="berschrift1">
    <w:name w:val="heading 1"/>
    <w:basedOn w:val="Standard"/>
    <w:next w:val="Standard"/>
    <w:autoRedefine/>
    <w:qFormat/>
    <w:pPr>
      <w:keepNext/>
      <w:pageBreakBefore/>
      <w:numPr>
        <w:numId w:val="39"/>
      </w:numPr>
      <w:spacing w:before="240" w:after="60"/>
      <w:outlineLvl w:val="0"/>
    </w:pPr>
    <w:rPr>
      <w:b w:val="0"/>
      <w:sz w:val="32"/>
    </w:rPr>
  </w:style>
  <w:style w:type="paragraph" w:styleId="berschrift2">
    <w:name w:val="heading 2"/>
    <w:basedOn w:val="Standard"/>
    <w:next w:val="Standard"/>
    <w:autoRedefine/>
    <w:qFormat/>
    <w:pPr>
      <w:keepNext/>
      <w:numPr>
        <w:ilvl w:val="1"/>
        <w:numId w:val="39"/>
      </w:numPr>
      <w:spacing w:before="360" w:after="60"/>
      <w:outlineLvl w:val="1"/>
    </w:pPr>
    <w:rPr>
      <w:b w:val="0"/>
      <w:sz w:val="28"/>
    </w:rPr>
  </w:style>
  <w:style w:type="paragraph" w:styleId="berschrift3">
    <w:name w:val="heading 3"/>
    <w:basedOn w:val="Standard"/>
    <w:next w:val="Standard"/>
    <w:autoRedefine/>
    <w:qFormat/>
    <w:pPr>
      <w:widowControl w:val="0"/>
      <w:numPr>
        <w:ilvl w:val="2"/>
        <w:numId w:val="39"/>
      </w:numPr>
      <w:spacing w:before="240" w:after="60"/>
      <w:outlineLvl w:val="2"/>
    </w:pPr>
    <w:rPr>
      <w:b w:val="0"/>
    </w:rPr>
  </w:style>
  <w:style w:type="paragraph" w:styleId="berschrift4">
    <w:name w:val="heading 4"/>
    <w:basedOn w:val="Standard"/>
    <w:next w:val="Standard"/>
    <w:autoRedefine/>
    <w:qFormat/>
    <w:rsid w:val="008523E8"/>
    <w:pPr>
      <w:keepNext/>
      <w:numPr>
        <w:ilvl w:val="3"/>
        <w:numId w:val="39"/>
      </w:numPr>
      <w:spacing w:before="120" w:after="60"/>
      <w:outlineLvl w:val="3"/>
    </w:pPr>
    <w:rPr>
      <w:b w:val="0"/>
    </w:rPr>
  </w:style>
  <w:style w:type="paragraph" w:styleId="berschrift5">
    <w:name w:val="heading 5"/>
    <w:basedOn w:val="Standard"/>
    <w:next w:val="Standard"/>
    <w:autoRedefine/>
    <w:qFormat/>
    <w:pPr>
      <w:numPr>
        <w:ilvl w:val="4"/>
        <w:numId w:val="39"/>
      </w:numPr>
      <w:spacing w:before="240" w:after="60"/>
      <w:outlineLvl w:val="4"/>
    </w:pPr>
    <w:rPr>
      <w:b w:val="0"/>
    </w:rPr>
  </w:style>
  <w:style w:type="paragraph" w:styleId="berschrift6">
    <w:name w:val="heading 6"/>
    <w:basedOn w:val="Standard"/>
    <w:next w:val="Standard"/>
    <w:autoRedefine/>
    <w:qFormat/>
    <w:rsid w:val="008523E8"/>
    <w:pPr>
      <w:numPr>
        <w:ilvl w:val="5"/>
        <w:numId w:val="39"/>
      </w:numPr>
      <w:spacing w:before="240" w:after="60"/>
      <w:outlineLvl w:val="5"/>
    </w:pPr>
    <w:rPr>
      <w:b w:val="0"/>
    </w:rPr>
  </w:style>
  <w:style w:type="paragraph" w:styleId="berschrift7">
    <w:name w:val="heading 7"/>
    <w:basedOn w:val="Standard"/>
    <w:next w:val="Standard"/>
    <w:autoRedefine/>
    <w:qFormat/>
    <w:rsid w:val="008523E8"/>
    <w:pPr>
      <w:numPr>
        <w:ilvl w:val="6"/>
        <w:numId w:val="39"/>
      </w:numPr>
      <w:spacing w:before="240" w:after="60"/>
      <w:outlineLvl w:val="6"/>
    </w:pPr>
    <w:rPr>
      <w:b w:val="0"/>
    </w:rPr>
  </w:style>
  <w:style w:type="paragraph" w:styleId="berschrift8">
    <w:name w:val="heading 8"/>
    <w:basedOn w:val="Standard"/>
    <w:next w:val="Standard"/>
    <w:autoRedefine/>
    <w:qFormat/>
    <w:rsid w:val="008523E8"/>
    <w:pPr>
      <w:numPr>
        <w:ilvl w:val="7"/>
        <w:numId w:val="39"/>
      </w:numPr>
      <w:spacing w:before="240" w:after="60"/>
      <w:outlineLvl w:val="7"/>
    </w:pPr>
    <w:rPr>
      <w:b w:val="0"/>
    </w:rPr>
  </w:style>
  <w:style w:type="paragraph" w:styleId="berschrift9">
    <w:name w:val="heading 9"/>
    <w:basedOn w:val="Standard"/>
    <w:next w:val="Standard"/>
    <w:autoRedefine/>
    <w:qFormat/>
    <w:rsid w:val="008523E8"/>
    <w:pPr>
      <w:numPr>
        <w:ilvl w:val="8"/>
        <w:numId w:val="39"/>
      </w:numPr>
      <w:spacing w:before="240" w:after="60"/>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Punkt"/>
    <w:basedOn w:val="Standard"/>
    <w:pPr>
      <w:numPr>
        <w:numId w:val="1"/>
      </w:numPr>
      <w:spacing w:before="60" w:after="60"/>
    </w:pPr>
  </w:style>
  <w:style w:type="paragraph" w:customStyle="1" w:styleId="AufzhlungQuadrat">
    <w:name w:val="Aufzählung Quadrat"/>
    <w:basedOn w:val="AufzhlungPunkt"/>
    <w:pPr>
      <w:numPr>
        <w:numId w:val="7"/>
      </w:numPr>
    </w:pPr>
  </w:style>
  <w:style w:type="paragraph" w:customStyle="1" w:styleId="AufzhlungRaute">
    <w:name w:val="Aufzählung Raute"/>
    <w:basedOn w:val="Standard"/>
    <w:pPr>
      <w:numPr>
        <w:numId w:val="2"/>
      </w:numPr>
    </w:pPr>
  </w:style>
  <w:style w:type="paragraph" w:customStyle="1" w:styleId="AufzhlungStrich">
    <w:name w:val="Aufzählung Strich"/>
    <w:basedOn w:val="AufzhlungPunkt"/>
    <w:pPr>
      <w:numPr>
        <w:numId w:val="3"/>
      </w:numPr>
      <w:ind w:left="357" w:hanging="357"/>
    </w:pPr>
  </w:style>
  <w:style w:type="paragraph" w:styleId="Kopfzeile">
    <w:name w:val="header"/>
    <w:basedOn w:val="Standard"/>
    <w:rsid w:val="00447CD1"/>
    <w:pPr>
      <w:tabs>
        <w:tab w:val="center" w:pos="4536"/>
        <w:tab w:val="right" w:pos="9072"/>
      </w:tabs>
    </w:pPr>
  </w:style>
  <w:style w:type="paragraph" w:styleId="Kommentarthema">
    <w:name w:val="annotation subject"/>
    <w:basedOn w:val="Kommentartext"/>
    <w:next w:val="Kommentartext"/>
    <w:semiHidden/>
    <w:rsid w:val="002D67D2"/>
    <w:rPr>
      <w:b w:val="0"/>
      <w:bCs/>
    </w:rPr>
  </w:style>
  <w:style w:type="paragraph" w:styleId="Kommentartext">
    <w:name w:val="annotation text"/>
    <w:basedOn w:val="Standard"/>
    <w:semiHidden/>
    <w:rPr>
      <w:sz w:val="20"/>
    </w:rPr>
  </w:style>
  <w:style w:type="paragraph" w:styleId="Verzeichnis1">
    <w:name w:val="toc 1"/>
    <w:aliases w:val="toc1"/>
    <w:basedOn w:val="Standard"/>
    <w:next w:val="Standard"/>
    <w:autoRedefine/>
    <w:semiHidden/>
    <w:pPr>
      <w:spacing w:before="120" w:after="120"/>
    </w:pPr>
    <w:rPr>
      <w:b w:val="0"/>
      <w:caps/>
    </w:rPr>
  </w:style>
  <w:style w:type="paragraph" w:styleId="Titel">
    <w:name w:val="Title"/>
    <w:basedOn w:val="Standard"/>
    <w:qFormat/>
    <w:pPr>
      <w:spacing w:before="240" w:after="60"/>
      <w:jc w:val="center"/>
    </w:pPr>
    <w:rPr>
      <w:b w:val="0"/>
      <w:kern w:val="28"/>
      <w:sz w:val="32"/>
    </w:rPr>
  </w:style>
  <w:style w:type="paragraph" w:styleId="Verzeichnis2">
    <w:name w:val="toc 2"/>
    <w:aliases w:val="toc2"/>
    <w:basedOn w:val="Standard"/>
    <w:next w:val="Standard"/>
    <w:autoRedefine/>
    <w:semiHidden/>
    <w:pPr>
      <w:tabs>
        <w:tab w:val="left" w:pos="960"/>
        <w:tab w:val="right" w:leader="dot" w:pos="9629"/>
      </w:tabs>
      <w:ind w:left="284"/>
    </w:pPr>
    <w:rPr>
      <w:smallCaps/>
      <w:noProof/>
    </w:rPr>
  </w:style>
  <w:style w:type="paragraph" w:styleId="Verzeichnis3">
    <w:name w:val="toc 3"/>
    <w:basedOn w:val="Standard"/>
    <w:next w:val="Standard"/>
    <w:autoRedefine/>
    <w:semiHidden/>
    <w:pPr>
      <w:ind w:left="480"/>
    </w:pPr>
    <w:rPr>
      <w:rFonts w:ascii="Times New Roman" w:hAnsi="Times New Roman"/>
      <w:i/>
      <w:sz w:val="20"/>
    </w:rPr>
  </w:style>
  <w:style w:type="paragraph" w:styleId="Verzeichnis4">
    <w:name w:val="toc 4"/>
    <w:basedOn w:val="Standard"/>
    <w:next w:val="Standard"/>
    <w:autoRedefine/>
    <w:semiHidden/>
    <w:pPr>
      <w:ind w:left="72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styleId="Fuzeile">
    <w:name w:val="footer"/>
    <w:basedOn w:val="Standard"/>
    <w:rsid w:val="00414C57"/>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Beschriftung">
    <w:name w:val="caption"/>
    <w:basedOn w:val="Standard"/>
    <w:next w:val="Standard"/>
    <w:qFormat/>
    <w:pPr>
      <w:spacing w:before="120" w:after="120"/>
      <w:jc w:val="center"/>
    </w:pPr>
    <w:rPr>
      <w:b w:val="0"/>
    </w:rPr>
  </w:style>
  <w:style w:type="paragraph" w:customStyle="1" w:styleId="Aufzhlung">
    <w:name w:val="Aufzählung"/>
    <w:basedOn w:val="Standard"/>
    <w:pPr>
      <w:tabs>
        <w:tab w:val="num" w:pos="360"/>
      </w:tabs>
      <w:spacing w:after="240" w:line="300" w:lineRule="exact"/>
      <w:ind w:left="360" w:hanging="360"/>
    </w:pPr>
  </w:style>
  <w:style w:type="paragraph" w:styleId="Listennummer3">
    <w:name w:val="List Number 3"/>
    <w:basedOn w:val="Standard"/>
    <w:pPr>
      <w:spacing w:after="120"/>
      <w:ind w:left="357" w:hanging="357"/>
      <w:jc w:val="both"/>
    </w:pPr>
  </w:style>
  <w:style w:type="paragraph" w:customStyle="1" w:styleId="Abbildung">
    <w:name w:val="Abbildung"/>
    <w:basedOn w:val="Standard"/>
    <w:next w:val="Beschriftung"/>
    <w:pPr>
      <w:keepNext/>
      <w:spacing w:before="360" w:after="240" w:line="300" w:lineRule="atLeast"/>
      <w:jc w:val="center"/>
    </w:pPr>
  </w:style>
  <w:style w:type="paragraph" w:styleId="Abbildungsverzeichnis">
    <w:name w:val="table of figures"/>
    <w:basedOn w:val="Standard"/>
    <w:next w:val="Standard"/>
    <w:semiHidden/>
    <w:pPr>
      <w:ind w:left="480" w:hanging="480"/>
    </w:pPr>
  </w:style>
  <w:style w:type="paragraph" w:styleId="Sprechblasentext">
    <w:name w:val="Balloon Text"/>
    <w:basedOn w:val="Standard"/>
    <w:semiHidden/>
    <w:rPr>
      <w:rFonts w:ascii="Tahoma" w:hAnsi="Tahoma" w:cs="Wingdings"/>
      <w:sz w:val="16"/>
      <w:szCs w:val="16"/>
    </w:rPr>
  </w:style>
  <w:style w:type="character" w:styleId="Kommentarzeichen">
    <w:name w:val="annotation reference"/>
    <w:semiHidden/>
    <w:rPr>
      <w:sz w:val="16"/>
    </w:rPr>
  </w:style>
  <w:style w:type="paragraph" w:customStyle="1" w:styleId="FormatvorlageSchwarzVor2ptNach2pt3">
    <w:name w:val="Formatvorlage Schwarz Vor:  2 pt Nach:  2 pt3"/>
    <w:basedOn w:val="Standard"/>
    <w:autoRedefine/>
    <w:rsid w:val="00106246"/>
    <w:rPr>
      <w:color w:val="000000"/>
      <w:sz w:val="20"/>
    </w:rPr>
  </w:style>
  <w:style w:type="table" w:styleId="Tabellenraster">
    <w:name w:val="Table Grid"/>
    <w:basedOn w:val="NormaleTabelle"/>
    <w:rsid w:val="0029127B"/>
    <w:rPr>
      <w:rFonts w:ascii="Arial" w:hAnsi="Arial"/>
    </w:rPr>
    <w:tblPr>
      <w:tblBorders>
        <w:insideH w:val="single" w:sz="4" w:space="0" w:color="auto"/>
      </w:tblBorders>
    </w:tblPr>
    <w:tcPr>
      <w:shd w:val="clear" w:color="auto" w:fill="auto"/>
    </w:tcPr>
  </w:style>
  <w:style w:type="character" w:customStyle="1" w:styleId="Formatvorlage7pt">
    <w:name w:val="Formatvorlage 7 pt"/>
    <w:rsid w:val="0029127B"/>
    <w:rPr>
      <w:rFonts w:ascii="Arial" w:hAnsi="Arial"/>
      <w:sz w:val="14"/>
      <w:szCs w:val="14"/>
    </w:rPr>
  </w:style>
  <w:style w:type="character" w:styleId="Hyperlink">
    <w:name w:val="Hyperlink"/>
    <w:uiPriority w:val="99"/>
    <w:unhideWhenUsed/>
    <w:rsid w:val="003E19C4"/>
    <w:rPr>
      <w:color w:val="0000FF"/>
      <w:u w:val="single"/>
    </w:rPr>
  </w:style>
  <w:style w:type="paragraph" w:customStyle="1" w:styleId="Betreffzeile">
    <w:name w:val="Betreffzeile"/>
    <w:basedOn w:val="Standard"/>
    <w:rsid w:val="00E64F8B"/>
    <w:pPr>
      <w:spacing w:line="276" w:lineRule="auto"/>
    </w:pPr>
    <w:rPr>
      <w:rFonts w:ascii="Calibri" w:hAnsi="Calibri"/>
      <w:b w:val="0"/>
      <w:bCs/>
      <w:sz w:val="20"/>
    </w:rPr>
  </w:style>
  <w:style w:type="paragraph" w:customStyle="1" w:styleId="Default">
    <w:name w:val="Default"/>
    <w:rsid w:val="00504E6A"/>
    <w:pPr>
      <w:autoSpaceDE w:val="0"/>
      <w:autoSpaceDN w:val="0"/>
      <w:adjustRightInd w:val="0"/>
    </w:pPr>
    <w:rPr>
      <w:rFonts w:ascii="DGUV Meta" w:hAnsi="DGUV Meta" w:cs="DGUV Meta"/>
      <w:color w:val="000000"/>
      <w:sz w:val="24"/>
      <w:szCs w:val="24"/>
    </w:rPr>
  </w:style>
  <w:style w:type="character" w:customStyle="1" w:styleId="A2">
    <w:name w:val="A2"/>
    <w:uiPriority w:val="99"/>
    <w:rsid w:val="00504E6A"/>
    <w:rPr>
      <w:rFonts w:cs="DGUV Meta"/>
      <w:color w:val="221E1F"/>
      <w:sz w:val="18"/>
      <w:szCs w:val="18"/>
    </w:rPr>
  </w:style>
  <w:style w:type="character" w:styleId="BesuchterLink">
    <w:name w:val="FollowedHyperlink"/>
    <w:rsid w:val="003D2AE1"/>
    <w:rPr>
      <w:color w:val="800080"/>
      <w:u w:val="single"/>
    </w:rPr>
  </w:style>
  <w:style w:type="paragraph" w:styleId="Listenabsatz">
    <w:name w:val="List Paragraph"/>
    <w:basedOn w:val="Standard"/>
    <w:uiPriority w:val="34"/>
    <w:rsid w:val="000F0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2223">
      <w:bodyDiv w:val="1"/>
      <w:marLeft w:val="0"/>
      <w:marRight w:val="0"/>
      <w:marTop w:val="0"/>
      <w:marBottom w:val="0"/>
      <w:divBdr>
        <w:top w:val="none" w:sz="0" w:space="0" w:color="auto"/>
        <w:left w:val="none" w:sz="0" w:space="0" w:color="auto"/>
        <w:bottom w:val="none" w:sz="0" w:space="0" w:color="auto"/>
        <w:right w:val="none" w:sz="0" w:space="0" w:color="auto"/>
      </w:divBdr>
      <w:divsChild>
        <w:div w:id="532694224">
          <w:marLeft w:val="0"/>
          <w:marRight w:val="0"/>
          <w:marTop w:val="0"/>
          <w:marBottom w:val="0"/>
          <w:divBdr>
            <w:top w:val="none" w:sz="0" w:space="0" w:color="auto"/>
            <w:left w:val="none" w:sz="0" w:space="0" w:color="auto"/>
            <w:bottom w:val="none" w:sz="0" w:space="0" w:color="auto"/>
            <w:right w:val="none" w:sz="0" w:space="0" w:color="auto"/>
          </w:divBdr>
        </w:div>
        <w:div w:id="2068147147">
          <w:marLeft w:val="0"/>
          <w:marRight w:val="0"/>
          <w:marTop w:val="0"/>
          <w:marBottom w:val="0"/>
          <w:divBdr>
            <w:top w:val="none" w:sz="0" w:space="0" w:color="auto"/>
            <w:left w:val="none" w:sz="0" w:space="0" w:color="auto"/>
            <w:bottom w:val="none" w:sz="0" w:space="0" w:color="auto"/>
            <w:right w:val="none" w:sz="0" w:space="0" w:color="auto"/>
          </w:divBdr>
        </w:div>
        <w:div w:id="2133161078">
          <w:marLeft w:val="0"/>
          <w:marRight w:val="0"/>
          <w:marTop w:val="0"/>
          <w:marBottom w:val="0"/>
          <w:divBdr>
            <w:top w:val="none" w:sz="0" w:space="0" w:color="auto"/>
            <w:left w:val="none" w:sz="0" w:space="0" w:color="auto"/>
            <w:bottom w:val="none" w:sz="0" w:space="0" w:color="auto"/>
            <w:right w:val="none" w:sz="0" w:space="0" w:color="auto"/>
          </w:divBdr>
        </w:div>
      </w:divsChild>
    </w:div>
    <w:div w:id="372119454">
      <w:bodyDiv w:val="1"/>
      <w:marLeft w:val="0"/>
      <w:marRight w:val="0"/>
      <w:marTop w:val="0"/>
      <w:marBottom w:val="0"/>
      <w:divBdr>
        <w:top w:val="none" w:sz="0" w:space="0" w:color="auto"/>
        <w:left w:val="none" w:sz="0" w:space="0" w:color="auto"/>
        <w:bottom w:val="none" w:sz="0" w:space="0" w:color="auto"/>
        <w:right w:val="none" w:sz="0" w:space="0" w:color="auto"/>
      </w:divBdr>
      <w:divsChild>
        <w:div w:id="793446430">
          <w:marLeft w:val="0"/>
          <w:marRight w:val="0"/>
          <w:marTop w:val="0"/>
          <w:marBottom w:val="0"/>
          <w:divBdr>
            <w:top w:val="none" w:sz="0" w:space="0" w:color="auto"/>
            <w:left w:val="none" w:sz="0" w:space="0" w:color="auto"/>
            <w:bottom w:val="none" w:sz="0" w:space="0" w:color="auto"/>
            <w:right w:val="none" w:sz="0" w:space="0" w:color="auto"/>
          </w:divBdr>
        </w:div>
        <w:div w:id="1802842570">
          <w:marLeft w:val="0"/>
          <w:marRight w:val="0"/>
          <w:marTop w:val="0"/>
          <w:marBottom w:val="0"/>
          <w:divBdr>
            <w:top w:val="none" w:sz="0" w:space="0" w:color="auto"/>
            <w:left w:val="none" w:sz="0" w:space="0" w:color="auto"/>
            <w:bottom w:val="none" w:sz="0" w:space="0" w:color="auto"/>
            <w:right w:val="none" w:sz="0" w:space="0" w:color="auto"/>
          </w:divBdr>
        </w:div>
      </w:divsChild>
    </w:div>
    <w:div w:id="558976833">
      <w:bodyDiv w:val="1"/>
      <w:marLeft w:val="0"/>
      <w:marRight w:val="0"/>
      <w:marTop w:val="0"/>
      <w:marBottom w:val="0"/>
      <w:divBdr>
        <w:top w:val="none" w:sz="0" w:space="0" w:color="auto"/>
        <w:left w:val="none" w:sz="0" w:space="0" w:color="auto"/>
        <w:bottom w:val="none" w:sz="0" w:space="0" w:color="auto"/>
        <w:right w:val="none" w:sz="0" w:space="0" w:color="auto"/>
      </w:divBdr>
    </w:div>
    <w:div w:id="830608211">
      <w:bodyDiv w:val="1"/>
      <w:marLeft w:val="0"/>
      <w:marRight w:val="0"/>
      <w:marTop w:val="0"/>
      <w:marBottom w:val="0"/>
      <w:divBdr>
        <w:top w:val="none" w:sz="0" w:space="0" w:color="auto"/>
        <w:left w:val="none" w:sz="0" w:space="0" w:color="auto"/>
        <w:bottom w:val="none" w:sz="0" w:space="0" w:color="auto"/>
        <w:right w:val="none" w:sz="0" w:space="0" w:color="auto"/>
      </w:divBdr>
    </w:div>
    <w:div w:id="16989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n.de/gefahrtar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83434\Desktop\PM%20BGN%20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CCA38-4088-48FC-8D91-23088F5A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BGN 2017</Template>
  <TotalTime>0</TotalTime>
  <Pages>2</Pages>
  <Words>443</Words>
  <Characters>2798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BGN  -  68136 Mannheim</vt:lpstr>
    </vt:vector>
  </TitlesOfParts>
  <Company>BG</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  -  68136 Mannheim</dc:title>
  <dc:creator>Wanhoff Michael</dc:creator>
  <cp:lastModifiedBy>Russo Giovanna</cp:lastModifiedBy>
  <cp:revision>2</cp:revision>
  <cp:lastPrinted>2017-03-08T12:10:00Z</cp:lastPrinted>
  <dcterms:created xsi:type="dcterms:W3CDTF">2018-12-04T11:02:00Z</dcterms:created>
  <dcterms:modified xsi:type="dcterms:W3CDTF">2018-12-04T11:02:00Z</dcterms:modified>
</cp:coreProperties>
</file>